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D0322" w14:textId="77777777" w:rsidR="003C00B6" w:rsidRDefault="003C00B6" w:rsidP="047AC0FB">
      <w:pPr>
        <w:rPr>
          <w:rFonts w:ascii="Arial" w:eastAsia="Arial" w:hAnsi="Arial" w:cs="Arial"/>
          <w:b/>
          <w:bCs/>
          <w:i/>
          <w:iCs/>
          <w:color w:val="000000" w:themeColor="text1"/>
        </w:rPr>
      </w:pPr>
    </w:p>
    <w:p w14:paraId="0515A00F" w14:textId="1BADC861" w:rsidR="047AC0FB" w:rsidRDefault="047AC0FB" w:rsidP="047AC0FB">
      <w:pPr>
        <w:rPr>
          <w:rFonts w:ascii="Arial" w:eastAsia="Arial" w:hAnsi="Arial" w:cs="Arial"/>
          <w:b/>
          <w:bCs/>
          <w:i/>
          <w:iCs/>
          <w:color w:val="000000" w:themeColor="text1"/>
        </w:rPr>
      </w:pPr>
      <w:r w:rsidRPr="047AC0FB">
        <w:rPr>
          <w:rFonts w:ascii="Arial" w:eastAsia="Arial" w:hAnsi="Arial" w:cs="Arial"/>
          <w:b/>
          <w:bCs/>
          <w:i/>
          <w:iCs/>
          <w:color w:val="000000" w:themeColor="text1"/>
        </w:rPr>
        <w:t>Who are we?</w:t>
      </w:r>
    </w:p>
    <w:p w14:paraId="4B0DDEB9" w14:textId="37D88DC8" w:rsidR="047AC0FB" w:rsidRDefault="047AC0FB"/>
    <w:p w14:paraId="781DD206" w14:textId="77777777" w:rsidR="00C34CC4" w:rsidRDefault="047AC0FB" w:rsidP="00F455A9">
      <w:pPr>
        <w:spacing w:line="360" w:lineRule="auto"/>
        <w:rPr>
          <w:rFonts w:ascii="Arial" w:eastAsia="Arial" w:hAnsi="Arial" w:cs="Arial"/>
        </w:rPr>
      </w:pPr>
      <w:r w:rsidRPr="047AC0FB">
        <w:rPr>
          <w:rFonts w:ascii="Arial" w:eastAsia="Arial" w:hAnsi="Arial" w:cs="Arial"/>
          <w:color w:val="000000" w:themeColor="text1"/>
        </w:rPr>
        <w:t xml:space="preserve">Tussell is the market’s leading provider of intelligence on government contracts and spending. Our online market intelligence platform helps companies to enhance their public sector business </w:t>
      </w:r>
      <w:r w:rsidRPr="00F455A9">
        <w:rPr>
          <w:rFonts w:ascii="Arial" w:eastAsia="Arial" w:hAnsi="Arial" w:cs="Arial"/>
        </w:rPr>
        <w:t>development, and public sector bodies to get better value from their procurement.</w:t>
      </w:r>
      <w:r w:rsidR="00C34CC4">
        <w:rPr>
          <w:rFonts w:ascii="Arial" w:eastAsia="Arial" w:hAnsi="Arial" w:cs="Arial"/>
        </w:rPr>
        <w:t xml:space="preserve"> </w:t>
      </w:r>
    </w:p>
    <w:p w14:paraId="7DF7116B" w14:textId="77777777" w:rsidR="00C34CC4" w:rsidRDefault="00F455A9" w:rsidP="00F455A9">
      <w:pPr>
        <w:spacing w:line="360" w:lineRule="auto"/>
        <w:rPr>
          <w:rFonts w:ascii="Arial" w:hAnsi="Arial" w:cs="Arial"/>
          <w:shd w:val="clear" w:color="auto" w:fill="FFFFFF"/>
        </w:rPr>
      </w:pPr>
      <w:r w:rsidRPr="00F455A9">
        <w:rPr>
          <w:rFonts w:ascii="Arial" w:hAnsi="Arial" w:cs="Arial"/>
          <w:shd w:val="clear" w:color="auto" w:fill="FFFFFF"/>
        </w:rPr>
        <w:t xml:space="preserve">Tussell was founded in 2015 to fill a gap in the market for the provision of useful and reliable </w:t>
      </w:r>
      <w:r w:rsidRPr="00C34CC4">
        <w:rPr>
          <w:rFonts w:ascii="Arial" w:hAnsi="Arial" w:cs="Arial"/>
          <w:shd w:val="clear" w:color="auto" w:fill="FFFFFF"/>
        </w:rPr>
        <w:t>information on government contracts and spending. By consolidating trillions of pounds worth of public procurement data into a single platform, Tussell provides an unparalleled vantage point over the UK public procurement landscape.</w:t>
      </w:r>
    </w:p>
    <w:p w14:paraId="5038E2BE" w14:textId="451DC29C" w:rsidR="047AC0FB" w:rsidRDefault="047AC0FB" w:rsidP="00F455A9">
      <w:pPr>
        <w:spacing w:line="360" w:lineRule="auto"/>
        <w:rPr>
          <w:rFonts w:ascii="Arial" w:eastAsia="Arial" w:hAnsi="Arial" w:cs="Arial"/>
          <w:color w:val="000000" w:themeColor="text1"/>
        </w:rPr>
      </w:pPr>
      <w:r w:rsidRPr="047AC0FB">
        <w:rPr>
          <w:rFonts w:ascii="Arial" w:eastAsia="Arial" w:hAnsi="Arial" w:cs="Arial"/>
          <w:color w:val="000000" w:themeColor="text1"/>
        </w:rPr>
        <w:t>Tussell is the media’s trusted source of data on UK public procurement.</w:t>
      </w:r>
      <w:r w:rsidR="00C34CC4">
        <w:rPr>
          <w:rFonts w:ascii="Arial" w:eastAsia="Arial" w:hAnsi="Arial" w:cs="Arial"/>
          <w:color w:val="000000" w:themeColor="text1"/>
        </w:rPr>
        <w:t xml:space="preserve"> With over 1100 citations of our data across 450 different outlets since 2018, the media consistently turn to us for reliable insight and analysis into the latest developments </w:t>
      </w:r>
      <w:r w:rsidR="003C00B6">
        <w:rPr>
          <w:rFonts w:ascii="Arial" w:eastAsia="Arial" w:hAnsi="Arial" w:cs="Arial"/>
          <w:color w:val="000000" w:themeColor="text1"/>
        </w:rPr>
        <w:t>surrounding</w:t>
      </w:r>
      <w:r w:rsidR="00C34CC4">
        <w:rPr>
          <w:rFonts w:ascii="Arial" w:eastAsia="Arial" w:hAnsi="Arial" w:cs="Arial"/>
          <w:color w:val="000000" w:themeColor="text1"/>
        </w:rPr>
        <w:t xml:space="preserve"> UK public contracting and spending.</w:t>
      </w:r>
    </w:p>
    <w:p w14:paraId="528E167C" w14:textId="3A2C0846" w:rsidR="003C00B6" w:rsidRPr="00C34CC4" w:rsidRDefault="003C00B6" w:rsidP="00F455A9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 w:themeColor="text1"/>
        </w:rPr>
        <w:t xml:space="preserve">To learn more about us, head over to </w:t>
      </w:r>
      <w:hyperlink r:id="rId7" w:history="1">
        <w:r w:rsidRPr="003C00B6">
          <w:rPr>
            <w:rStyle w:val="Hyperlink"/>
            <w:rFonts w:ascii="Arial" w:eastAsia="Arial" w:hAnsi="Arial" w:cs="Arial"/>
          </w:rPr>
          <w:t>our website</w:t>
        </w:r>
      </w:hyperlink>
      <w:r>
        <w:rPr>
          <w:rFonts w:ascii="Arial" w:eastAsia="Arial" w:hAnsi="Arial" w:cs="Arial"/>
          <w:color w:val="000000" w:themeColor="text1"/>
        </w:rPr>
        <w:t>.</w:t>
      </w:r>
    </w:p>
    <w:p w14:paraId="5D930031" w14:textId="7C2045F5" w:rsidR="047AC0FB" w:rsidRDefault="047AC0FB" w:rsidP="047AC0FB">
      <w:pPr>
        <w:rPr>
          <w:rFonts w:ascii="Arial" w:eastAsia="Arial" w:hAnsi="Arial" w:cs="Arial"/>
          <w:color w:val="000000" w:themeColor="text1"/>
        </w:rPr>
      </w:pPr>
    </w:p>
    <w:p w14:paraId="62DA6BC8" w14:textId="34B4238F" w:rsidR="047AC0FB" w:rsidRDefault="047AC0FB" w:rsidP="047AC0FB">
      <w:pPr>
        <w:rPr>
          <w:rFonts w:ascii="Arial" w:eastAsia="Arial" w:hAnsi="Arial" w:cs="Arial"/>
          <w:color w:val="000000" w:themeColor="text1"/>
        </w:rPr>
      </w:pPr>
    </w:p>
    <w:p w14:paraId="64D8D344" w14:textId="021D28D8" w:rsidR="047AC0FB" w:rsidRDefault="047AC0FB" w:rsidP="047AC0FB">
      <w:pPr>
        <w:rPr>
          <w:rFonts w:ascii="Arial" w:eastAsia="Arial" w:hAnsi="Arial" w:cs="Arial"/>
          <w:b/>
          <w:bCs/>
          <w:i/>
          <w:iCs/>
          <w:color w:val="000000" w:themeColor="text1"/>
        </w:rPr>
      </w:pPr>
      <w:r w:rsidRPr="047AC0FB">
        <w:rPr>
          <w:rFonts w:ascii="Arial" w:eastAsia="Arial" w:hAnsi="Arial" w:cs="Arial"/>
          <w:b/>
          <w:bCs/>
          <w:i/>
          <w:iCs/>
          <w:color w:val="000000" w:themeColor="text1"/>
        </w:rPr>
        <w:t>Social tags</w:t>
      </w:r>
      <w:r w:rsidR="00F455A9">
        <w:rPr>
          <w:rFonts w:ascii="Arial" w:eastAsia="Arial" w:hAnsi="Arial" w:cs="Arial"/>
          <w:b/>
          <w:bCs/>
          <w:i/>
          <w:iCs/>
          <w:color w:val="000000" w:themeColor="text1"/>
        </w:rPr>
        <w:br/>
      </w:r>
    </w:p>
    <w:p w14:paraId="4931F637" w14:textId="613EC40B" w:rsidR="047AC0FB" w:rsidRDefault="003C00B6" w:rsidP="00F455A9">
      <w:pPr>
        <w:spacing w:line="276" w:lineRule="auto"/>
        <w:rPr>
          <w:rFonts w:ascii="Arial" w:eastAsia="Arial" w:hAnsi="Arial" w:cs="Arial"/>
          <w:color w:val="000000" w:themeColor="text1"/>
        </w:rPr>
      </w:pPr>
      <w:hyperlink r:id="rId8" w:history="1">
        <w:r w:rsidR="047AC0FB" w:rsidRPr="003C00B6">
          <w:rPr>
            <w:rStyle w:val="Hyperlink"/>
            <w:rFonts w:ascii="Arial" w:eastAsia="Arial" w:hAnsi="Arial" w:cs="Arial"/>
          </w:rPr>
          <w:t>LinkedIn</w:t>
        </w:r>
      </w:hyperlink>
      <w:r w:rsidR="047AC0FB" w:rsidRPr="047AC0FB">
        <w:rPr>
          <w:rFonts w:ascii="Arial" w:eastAsia="Arial" w:hAnsi="Arial" w:cs="Arial"/>
          <w:color w:val="000000" w:themeColor="text1"/>
        </w:rPr>
        <w:t xml:space="preserve"> - @tussell-limited</w:t>
      </w:r>
    </w:p>
    <w:p w14:paraId="6E62848B" w14:textId="0BB5B939" w:rsidR="047AC0FB" w:rsidRDefault="003C00B6" w:rsidP="00F455A9">
      <w:pPr>
        <w:spacing w:line="276" w:lineRule="auto"/>
        <w:rPr>
          <w:rFonts w:ascii="Arial" w:eastAsia="Arial" w:hAnsi="Arial" w:cs="Arial"/>
          <w:color w:val="000000" w:themeColor="text1"/>
        </w:rPr>
      </w:pPr>
      <w:hyperlink r:id="rId9" w:history="1">
        <w:r w:rsidR="047AC0FB" w:rsidRPr="003C00B6">
          <w:rPr>
            <w:rStyle w:val="Hyperlink"/>
            <w:rFonts w:ascii="Arial" w:eastAsia="Arial" w:hAnsi="Arial" w:cs="Arial"/>
          </w:rPr>
          <w:t>Twitter</w:t>
        </w:r>
      </w:hyperlink>
      <w:r w:rsidR="047AC0FB" w:rsidRPr="047AC0FB">
        <w:rPr>
          <w:rFonts w:ascii="Arial" w:eastAsia="Arial" w:hAnsi="Arial" w:cs="Arial"/>
          <w:color w:val="000000" w:themeColor="text1"/>
        </w:rPr>
        <w:t xml:space="preserve"> - @tussell_UK</w:t>
      </w:r>
    </w:p>
    <w:p w14:paraId="0B2A4A80" w14:textId="149079CE" w:rsidR="047AC0FB" w:rsidRDefault="047AC0FB" w:rsidP="00F455A9">
      <w:pPr>
        <w:spacing w:line="276" w:lineRule="auto"/>
        <w:rPr>
          <w:rFonts w:ascii="Arial" w:eastAsia="Arial" w:hAnsi="Arial" w:cs="Arial"/>
          <w:color w:val="000000" w:themeColor="text1"/>
        </w:rPr>
      </w:pPr>
    </w:p>
    <w:p w14:paraId="7E9C3DA2" w14:textId="5BAC72EA" w:rsidR="047AC0FB" w:rsidRDefault="047AC0FB" w:rsidP="00F455A9">
      <w:pPr>
        <w:spacing w:line="276" w:lineRule="auto"/>
        <w:rPr>
          <w:rFonts w:ascii="Arial" w:eastAsia="Arial" w:hAnsi="Arial" w:cs="Arial"/>
        </w:rPr>
      </w:pPr>
      <w:r w:rsidRPr="047AC0FB">
        <w:rPr>
          <w:rFonts w:ascii="Arial" w:eastAsia="Arial" w:hAnsi="Arial" w:cs="Arial"/>
          <w:color w:val="000000" w:themeColor="text1"/>
        </w:rPr>
        <w:t xml:space="preserve">Please don't hesitate to reach out to our Press Officer, Henry Thompson via email at </w:t>
      </w:r>
      <w:hyperlink r:id="rId10">
        <w:r w:rsidRPr="047AC0FB">
          <w:rPr>
            <w:rStyle w:val="Hyperlink"/>
            <w:rFonts w:ascii="Arial" w:eastAsia="Arial" w:hAnsi="Arial" w:cs="Arial"/>
          </w:rPr>
          <w:t>henry.thompson@tussell.com</w:t>
        </w:r>
      </w:hyperlink>
      <w:r w:rsidRPr="047AC0FB">
        <w:rPr>
          <w:rFonts w:ascii="Arial" w:eastAsia="Arial" w:hAnsi="Arial" w:cs="Arial"/>
        </w:rPr>
        <w:t xml:space="preserve"> if you want to discuss Tussell’s data further or to opportunities to work with Tussell and our data. </w:t>
      </w:r>
    </w:p>
    <w:p w14:paraId="481517A9" w14:textId="02E95B93" w:rsidR="047AC0FB" w:rsidRDefault="047AC0FB" w:rsidP="047AC0FB">
      <w:pPr>
        <w:rPr>
          <w:rFonts w:ascii="Arial" w:eastAsia="Arial" w:hAnsi="Arial" w:cs="Arial"/>
          <w:color w:val="000000" w:themeColor="text1"/>
        </w:rPr>
      </w:pPr>
    </w:p>
    <w:p w14:paraId="25DDB286" w14:textId="7A178E72" w:rsidR="047AC0FB" w:rsidRDefault="047AC0FB" w:rsidP="047AC0FB">
      <w:pPr>
        <w:rPr>
          <w:rFonts w:ascii="Arial" w:eastAsia="Arial" w:hAnsi="Arial" w:cs="Arial"/>
          <w:color w:val="000000" w:themeColor="text1"/>
        </w:rPr>
      </w:pPr>
    </w:p>
    <w:sectPr w:rsidR="047AC0F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6CD5B" w14:textId="77777777" w:rsidR="00BD5AC7" w:rsidRDefault="00BD5AC7" w:rsidP="003C00B6">
      <w:pPr>
        <w:spacing w:after="0" w:line="240" w:lineRule="auto"/>
      </w:pPr>
      <w:r>
        <w:separator/>
      </w:r>
    </w:p>
  </w:endnote>
  <w:endnote w:type="continuationSeparator" w:id="0">
    <w:p w14:paraId="593AC67E" w14:textId="77777777" w:rsidR="00BD5AC7" w:rsidRDefault="00BD5AC7" w:rsidP="003C0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71418" w14:textId="77777777" w:rsidR="00BD5AC7" w:rsidRDefault="00BD5AC7" w:rsidP="003C00B6">
      <w:pPr>
        <w:spacing w:after="0" w:line="240" w:lineRule="auto"/>
      </w:pPr>
      <w:r>
        <w:separator/>
      </w:r>
    </w:p>
  </w:footnote>
  <w:footnote w:type="continuationSeparator" w:id="0">
    <w:p w14:paraId="174F0380" w14:textId="77777777" w:rsidR="00BD5AC7" w:rsidRDefault="00BD5AC7" w:rsidP="003C0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797206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F311D4D" w14:textId="0803415D" w:rsidR="003C00B6" w:rsidRDefault="003C00B6">
        <w:pPr>
          <w:pStyle w:val="Header"/>
          <w:jc w:val="right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3BF1111D" wp14:editId="55F01DEB">
              <wp:simplePos x="0" y="0"/>
              <wp:positionH relativeFrom="margin">
                <wp:align>left</wp:align>
              </wp:positionH>
              <wp:positionV relativeFrom="paragraph">
                <wp:posOffset>-28575</wp:posOffset>
              </wp:positionV>
              <wp:extent cx="857250" cy="302895"/>
              <wp:effectExtent l="0" t="0" r="0" b="1905"/>
              <wp:wrapTight wrapText="bothSides">
                <wp:wrapPolygon edited="0">
                  <wp:start x="17760" y="0"/>
                  <wp:lineTo x="1920" y="5434"/>
                  <wp:lineTo x="0" y="6792"/>
                  <wp:lineTo x="0" y="20377"/>
                  <wp:lineTo x="18720" y="20377"/>
                  <wp:lineTo x="19200" y="19019"/>
                  <wp:lineTo x="21120" y="5434"/>
                  <wp:lineTo x="21120" y="0"/>
                  <wp:lineTo x="17760" y="0"/>
                </wp:wrapPolygon>
              </wp:wrapTight>
              <wp:docPr id="1998154277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CE83F" w14:textId="77777777" w:rsidR="003C00B6" w:rsidRDefault="003C00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41BA0"/>
    <w:multiLevelType w:val="hybridMultilevel"/>
    <w:tmpl w:val="11007442"/>
    <w:lvl w:ilvl="0" w:tplc="A80C8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AAD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8AF8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8478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5EF3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3E20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5C2F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9B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4C6C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6C9F79"/>
    <w:multiLevelType w:val="hybridMultilevel"/>
    <w:tmpl w:val="235CEB74"/>
    <w:lvl w:ilvl="0" w:tplc="42FE6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EA4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B0FA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4875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B891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DA81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1810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72A4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EEA9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984178">
    <w:abstractNumId w:val="1"/>
  </w:num>
  <w:num w:numId="2" w16cid:durableId="1863088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CB66EE"/>
    <w:rsid w:val="003C00B6"/>
    <w:rsid w:val="00BD5AC7"/>
    <w:rsid w:val="00C34CC4"/>
    <w:rsid w:val="00F455A9"/>
    <w:rsid w:val="047AC0FB"/>
    <w:rsid w:val="63CB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B66EE"/>
  <w15:chartTrackingRefBased/>
  <w15:docId w15:val="{5B44CF55-ED46-479C-AD28-23978A727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00B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C00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0B6"/>
  </w:style>
  <w:style w:type="paragraph" w:styleId="Footer">
    <w:name w:val="footer"/>
    <w:basedOn w:val="Normal"/>
    <w:link w:val="FooterChar"/>
    <w:uiPriority w:val="99"/>
    <w:unhideWhenUsed/>
    <w:rsid w:val="003C00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10012176/admin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ussel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henry.thompson@tussel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Tussell_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Lammin</dc:creator>
  <cp:keywords/>
  <dc:description/>
  <cp:lastModifiedBy>James P</cp:lastModifiedBy>
  <cp:revision>3</cp:revision>
  <dcterms:created xsi:type="dcterms:W3CDTF">2023-07-25T10:18:00Z</dcterms:created>
  <dcterms:modified xsi:type="dcterms:W3CDTF">2023-08-07T12:16:00Z</dcterms:modified>
</cp:coreProperties>
</file>